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C5C0" w14:textId="28069B6A" w:rsidR="00C177DC" w:rsidRPr="00604ACF" w:rsidRDefault="00604ACF">
      <w:pPr>
        <w:rPr>
          <w:rFonts w:ascii="Arial" w:hAnsi="Arial" w:cs="Arial"/>
          <w:b/>
          <w:bCs/>
          <w:sz w:val="24"/>
          <w:szCs w:val="24"/>
        </w:rPr>
      </w:pPr>
      <w:r w:rsidRPr="00604ACF">
        <w:rPr>
          <w:rFonts w:ascii="Arial" w:hAnsi="Arial" w:cs="Arial"/>
          <w:b/>
          <w:bCs/>
          <w:sz w:val="24"/>
          <w:szCs w:val="24"/>
        </w:rPr>
        <w:t xml:space="preserve">ALTERAÇÕES PROMOVIDAS NA </w:t>
      </w:r>
      <w:r w:rsidRPr="00604ACF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PORTARIA DE CONSOLIDAÇÃO GM/MCOM Nº 1, DE 2 DE JUNHO DE 2023, ATRAVÉS DA PORTARIA MCOM Nº 16.237, DE 4 DE FEVEREIRO DE 2025:</w:t>
      </w:r>
    </w:p>
    <w:p w14:paraId="5EFD8541" w14:textId="099184D1" w:rsidR="00696E10" w:rsidRPr="00684AEC" w:rsidRDefault="00684AEC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684AEC">
        <w:rPr>
          <w:rFonts w:ascii="Arial" w:hAnsi="Arial" w:cs="Arial"/>
          <w:b/>
          <w:bCs/>
          <w:color w:val="FF0000"/>
          <w:sz w:val="24"/>
          <w:szCs w:val="24"/>
        </w:rPr>
        <w:t>Trechos alterados, inclusos ou revogados:</w:t>
      </w:r>
    </w:p>
    <w:tbl>
      <w:tblPr>
        <w:tblStyle w:val="Tabelacomgrade"/>
        <w:tblW w:w="9898" w:type="dxa"/>
        <w:tblLayout w:type="fixed"/>
        <w:tblLook w:val="04A0" w:firstRow="1" w:lastRow="0" w:firstColumn="1" w:lastColumn="0" w:noHBand="0" w:noVBand="1"/>
      </w:tblPr>
      <w:tblGrid>
        <w:gridCol w:w="4673"/>
        <w:gridCol w:w="5225"/>
      </w:tblGrid>
      <w:tr w:rsidR="00696E10" w:rsidRPr="00684AEC" w14:paraId="3AD7440F" w14:textId="77777777" w:rsidTr="00696E10">
        <w:tc>
          <w:tcPr>
            <w:tcW w:w="4673" w:type="dxa"/>
            <w:shd w:val="clear" w:color="auto" w:fill="E8E8E8" w:themeFill="background2"/>
          </w:tcPr>
          <w:p w14:paraId="6418241B" w14:textId="1125B18C" w:rsidR="00696E10" w:rsidRPr="00684AEC" w:rsidRDefault="00696E10" w:rsidP="00212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AEC">
              <w:rPr>
                <w:rFonts w:ascii="Arial" w:hAnsi="Arial" w:cs="Arial"/>
                <w:b/>
                <w:bCs/>
                <w:sz w:val="24"/>
                <w:szCs w:val="24"/>
              </w:rPr>
              <w:t>COMO ERA</w:t>
            </w:r>
          </w:p>
        </w:tc>
        <w:tc>
          <w:tcPr>
            <w:tcW w:w="5225" w:type="dxa"/>
            <w:shd w:val="clear" w:color="auto" w:fill="E8E8E8" w:themeFill="background2"/>
          </w:tcPr>
          <w:p w14:paraId="0D2E0DE2" w14:textId="71FA7693" w:rsidR="00696E10" w:rsidRPr="00684AEC" w:rsidRDefault="00696E10" w:rsidP="002128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AEC">
              <w:rPr>
                <w:rFonts w:ascii="Arial" w:hAnsi="Arial" w:cs="Arial"/>
                <w:b/>
                <w:bCs/>
                <w:sz w:val="24"/>
                <w:szCs w:val="24"/>
              </w:rPr>
              <w:t>COMO FICOU</w:t>
            </w:r>
          </w:p>
        </w:tc>
      </w:tr>
      <w:tr w:rsidR="00696E10" w14:paraId="77B20EFF" w14:textId="77777777" w:rsidTr="00696E10">
        <w:tc>
          <w:tcPr>
            <w:tcW w:w="4673" w:type="dxa"/>
          </w:tcPr>
          <w:p w14:paraId="7D4E1120" w14:textId="77777777" w:rsidR="00212850" w:rsidRDefault="00696E10">
            <w:pPr>
              <w:rPr>
                <w:rFonts w:ascii="Arial" w:hAnsi="Arial" w:cs="Arial"/>
                <w:sz w:val="24"/>
                <w:szCs w:val="24"/>
              </w:rPr>
            </w:pPr>
            <w:r w:rsidRPr="00696E10">
              <w:rPr>
                <w:rFonts w:ascii="Arial" w:hAnsi="Arial" w:cs="Arial"/>
                <w:sz w:val="24"/>
                <w:szCs w:val="24"/>
              </w:rPr>
              <w:t xml:space="preserve">Art. 62. A sanção de suspensão poderá ser aplicada nas hipóteses previstas em lei ou na regulamentação. (Origem: PRT GM/MCOM 9.410/2023, art. 74-S, caput) </w:t>
            </w:r>
          </w:p>
          <w:p w14:paraId="47223FD5" w14:textId="77777777" w:rsidR="00212850" w:rsidRDefault="00212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9AC53" w14:textId="36F3EEF0" w:rsidR="00212850" w:rsidRDefault="00696E10">
            <w:pPr>
              <w:rPr>
                <w:rFonts w:ascii="Arial" w:hAnsi="Arial" w:cs="Arial"/>
                <w:sz w:val="24"/>
                <w:szCs w:val="24"/>
              </w:rPr>
            </w:pPr>
            <w:r w:rsidRPr="00696E10">
              <w:rPr>
                <w:rFonts w:ascii="Arial" w:hAnsi="Arial" w:cs="Arial"/>
                <w:sz w:val="24"/>
                <w:szCs w:val="24"/>
              </w:rPr>
              <w:t xml:space="preserve">§ 1º A suspensão será de um a trinta dias. (Origem: PRT GM/MCOM 9.410/2023, art. 74-S, § 1º) </w:t>
            </w:r>
          </w:p>
          <w:p w14:paraId="44FFC6DE" w14:textId="77777777" w:rsidR="00212850" w:rsidRDefault="00212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B895F" w14:textId="07F7B5A2" w:rsidR="00696E10" w:rsidRDefault="00696E10">
            <w:pPr>
              <w:rPr>
                <w:rFonts w:ascii="Arial" w:hAnsi="Arial" w:cs="Arial"/>
                <w:sz w:val="24"/>
                <w:szCs w:val="24"/>
              </w:rPr>
            </w:pPr>
            <w:r w:rsidRPr="00696E10">
              <w:rPr>
                <w:rFonts w:ascii="Arial" w:hAnsi="Arial" w:cs="Arial"/>
                <w:sz w:val="24"/>
                <w:szCs w:val="24"/>
              </w:rPr>
              <w:t>§ 2º Respeitado o limite de trinta dias, o prazo de suspensão de que trata o §1º poderá ser aumentado em até dois dias quando o infrator tiver registro de antecedente ou for reincidente. (Origem: PRT GM/MCOM 9.410/2023, art. 74-S, § 2º)</w:t>
            </w:r>
          </w:p>
          <w:p w14:paraId="0DF358FE" w14:textId="77777777" w:rsidR="00212850" w:rsidRDefault="00212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23BCC" w14:textId="77777777" w:rsidR="00212850" w:rsidRDefault="00696E10" w:rsidP="00212850">
            <w:pPr>
              <w:rPr>
                <w:rFonts w:ascii="Arial" w:hAnsi="Arial" w:cs="Arial"/>
                <w:sz w:val="24"/>
                <w:szCs w:val="24"/>
              </w:rPr>
            </w:pPr>
            <w:r w:rsidRPr="00696E10">
              <w:rPr>
                <w:rFonts w:ascii="Arial" w:hAnsi="Arial" w:cs="Arial"/>
                <w:sz w:val="24"/>
                <w:szCs w:val="24"/>
              </w:rPr>
              <w:t xml:space="preserve">§ 3º A sanção de suspensão poderá ser convertida em multa, desde que o infrator não tenha registro de quinze ou mais antecedentes. (Origem: PRT GM/MCOM 9.410/2023, art. 74-S, § 3º) </w:t>
            </w:r>
          </w:p>
          <w:p w14:paraId="21FE6FE8" w14:textId="77777777" w:rsidR="00212850" w:rsidRDefault="00212850" w:rsidP="00212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4B145" w14:textId="258CB4BD" w:rsidR="00212850" w:rsidRDefault="00696E10" w:rsidP="00212850">
            <w:pPr>
              <w:rPr>
                <w:rFonts w:ascii="Arial" w:hAnsi="Arial" w:cs="Arial"/>
                <w:sz w:val="24"/>
                <w:szCs w:val="24"/>
              </w:rPr>
            </w:pPr>
            <w:r w:rsidRPr="00696E10">
              <w:rPr>
                <w:rFonts w:ascii="Arial" w:hAnsi="Arial" w:cs="Arial"/>
                <w:sz w:val="24"/>
                <w:szCs w:val="24"/>
              </w:rPr>
              <w:t xml:space="preserve">§ 4º Na hipótese de conversão da suspensão em multa, serão aplicadas as normas de definição do valor da multa previstas na Subseção III desta seção, com o acréscimo dos seguintes percentuais: (Origem: PRT GM/MCOM 9.410/2023, art. 74-S, § 4º) </w:t>
            </w:r>
          </w:p>
          <w:p w14:paraId="653C92EF" w14:textId="77777777" w:rsidR="00212850" w:rsidRDefault="00212850" w:rsidP="00212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83B05" w14:textId="77777777" w:rsidR="00212850" w:rsidRDefault="00696E10" w:rsidP="00212850">
            <w:pPr>
              <w:rPr>
                <w:rFonts w:ascii="Arial" w:hAnsi="Arial" w:cs="Arial"/>
                <w:sz w:val="24"/>
                <w:szCs w:val="24"/>
              </w:rPr>
            </w:pPr>
            <w:r w:rsidRPr="00696E10">
              <w:rPr>
                <w:rFonts w:ascii="Arial" w:hAnsi="Arial" w:cs="Arial"/>
                <w:sz w:val="24"/>
                <w:szCs w:val="24"/>
              </w:rPr>
              <w:t xml:space="preserve">I – Leve: 20% (vinte por cento); (Origem: PRT GM/MCOM 9.410/2023, art. 74-S, § 4º, I) </w:t>
            </w:r>
          </w:p>
          <w:p w14:paraId="4B052E17" w14:textId="77777777" w:rsidR="00212850" w:rsidRDefault="00696E10" w:rsidP="00212850">
            <w:pPr>
              <w:rPr>
                <w:rFonts w:ascii="Arial" w:hAnsi="Arial" w:cs="Arial"/>
                <w:sz w:val="24"/>
                <w:szCs w:val="24"/>
              </w:rPr>
            </w:pPr>
            <w:r w:rsidRPr="00696E10">
              <w:rPr>
                <w:rFonts w:ascii="Arial" w:hAnsi="Arial" w:cs="Arial"/>
                <w:sz w:val="24"/>
                <w:szCs w:val="24"/>
              </w:rPr>
              <w:t xml:space="preserve">II – Média: 30% (trinta por cento); (Origem: PRT GM/MCOM 9.410/2023, art. 74-S, § 4º, II) </w:t>
            </w:r>
          </w:p>
          <w:p w14:paraId="64F0851F" w14:textId="77777777" w:rsidR="00212850" w:rsidRDefault="00696E10" w:rsidP="00212850">
            <w:pPr>
              <w:rPr>
                <w:rFonts w:ascii="Arial" w:hAnsi="Arial" w:cs="Arial"/>
                <w:sz w:val="24"/>
                <w:szCs w:val="24"/>
              </w:rPr>
            </w:pPr>
            <w:r w:rsidRPr="00696E10">
              <w:rPr>
                <w:rFonts w:ascii="Arial" w:hAnsi="Arial" w:cs="Arial"/>
                <w:sz w:val="24"/>
                <w:szCs w:val="24"/>
              </w:rPr>
              <w:t xml:space="preserve">III – Grave: 40% (quarenta por cento); e (Origem: PRT GM/MCOM 9.410/2023, art. 74-S, § 4º, III) </w:t>
            </w:r>
          </w:p>
          <w:p w14:paraId="6F5ACCB0" w14:textId="20C5F263" w:rsidR="00696E10" w:rsidRPr="00696E10" w:rsidRDefault="00696E10" w:rsidP="00212850">
            <w:pPr>
              <w:rPr>
                <w:rFonts w:ascii="Arial" w:hAnsi="Arial" w:cs="Arial"/>
                <w:sz w:val="24"/>
                <w:szCs w:val="24"/>
              </w:rPr>
            </w:pPr>
            <w:r w:rsidRPr="00696E10">
              <w:rPr>
                <w:rFonts w:ascii="Arial" w:hAnsi="Arial" w:cs="Arial"/>
                <w:sz w:val="24"/>
                <w:szCs w:val="24"/>
              </w:rPr>
              <w:t>IV – Gravíssima: 50% (cinquenta por cento). (Origem: PRT GM/MCOM 9.410/2023, art. 74-S, § 4º, IV)</w:t>
            </w:r>
          </w:p>
        </w:tc>
        <w:tc>
          <w:tcPr>
            <w:tcW w:w="5225" w:type="dxa"/>
          </w:tcPr>
          <w:p w14:paraId="1DC4F478" w14:textId="425C131C" w:rsidR="00684AEC" w:rsidRDefault="00684AEC" w:rsidP="00696E1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684AEC">
              <w:rPr>
                <w:rFonts w:ascii="Arial" w:hAnsi="Arial" w:cs="Arial"/>
                <w:b/>
                <w:bCs/>
                <w:color w:val="FF0000"/>
              </w:rPr>
              <w:t xml:space="preserve">CAPUT, 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>§§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 xml:space="preserve"> 2º </w:t>
            </w:r>
            <w:r w:rsidR="00E339F1">
              <w:rPr>
                <w:rFonts w:ascii="Arial" w:hAnsi="Arial" w:cs="Arial"/>
                <w:b/>
                <w:bCs/>
                <w:color w:val="FF0000"/>
              </w:rPr>
              <w:t>e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 xml:space="preserve"> 4º </w:t>
            </w:r>
            <w:r>
              <w:rPr>
                <w:rFonts w:ascii="Arial" w:hAnsi="Arial" w:cs="Arial"/>
                <w:b/>
                <w:bCs/>
                <w:color w:val="FF0000"/>
              </w:rPr>
              <w:t>I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>NALTERADOS</w:t>
            </w:r>
            <w:r>
              <w:rPr>
                <w:rFonts w:ascii="Arial" w:hAnsi="Arial" w:cs="Arial"/>
                <w:b/>
                <w:bCs/>
                <w:color w:val="FF0000"/>
              </w:rPr>
              <w:t>:</w:t>
            </w:r>
          </w:p>
          <w:p w14:paraId="4C523851" w14:textId="77777777" w:rsidR="00684AEC" w:rsidRPr="00684AEC" w:rsidRDefault="00684AEC" w:rsidP="00696E1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0817DAE0" w14:textId="74B206DB" w:rsidR="00696E10" w:rsidRDefault="00696E10" w:rsidP="00696E1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Art.</w:t>
            </w:r>
            <w:r>
              <w:rPr>
                <w:rFonts w:ascii="Arial" w:hAnsi="Arial" w:cs="Arial"/>
                <w:color w:val="162937"/>
              </w:rPr>
              <w:t xml:space="preserve"> </w:t>
            </w:r>
            <w:r>
              <w:rPr>
                <w:rFonts w:ascii="Arial" w:hAnsi="Arial" w:cs="Arial"/>
                <w:color w:val="162937"/>
              </w:rPr>
              <w:t>62. .............</w:t>
            </w:r>
            <w:r w:rsidR="00684AEC">
              <w:rPr>
                <w:rFonts w:ascii="Arial" w:hAnsi="Arial" w:cs="Arial"/>
                <w:color w:val="162937"/>
              </w:rPr>
              <w:t>.............................</w:t>
            </w:r>
            <w:r>
              <w:rPr>
                <w:rFonts w:ascii="Arial" w:hAnsi="Arial" w:cs="Arial"/>
                <w:color w:val="162937"/>
              </w:rPr>
              <w:t>.....................</w:t>
            </w:r>
          </w:p>
          <w:p w14:paraId="41DB24F3" w14:textId="77777777" w:rsidR="00212850" w:rsidRDefault="00212850" w:rsidP="00696E1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</w:p>
          <w:p w14:paraId="1634779A" w14:textId="291C6854" w:rsidR="00696E10" w:rsidRDefault="00696E10" w:rsidP="00696E1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 xml:space="preserve">§ 1º A suspensão será de um a trinta dias, 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>conforme a gradação da infração</w:t>
            </w:r>
            <w:r>
              <w:rPr>
                <w:rFonts w:ascii="Arial" w:hAnsi="Arial" w:cs="Arial"/>
                <w:color w:val="162937"/>
              </w:rPr>
              <w:t>:</w:t>
            </w:r>
          </w:p>
          <w:p w14:paraId="75DD1992" w14:textId="77777777" w:rsidR="00696E10" w:rsidRPr="00684AEC" w:rsidRDefault="00696E10" w:rsidP="00696E1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684AEC">
              <w:rPr>
                <w:rFonts w:ascii="Arial" w:hAnsi="Arial" w:cs="Arial"/>
                <w:b/>
                <w:bCs/>
                <w:color w:val="FF0000"/>
              </w:rPr>
              <w:t xml:space="preserve">I - </w:t>
            </w:r>
            <w:proofErr w:type="gramStart"/>
            <w:r w:rsidRPr="00684AEC">
              <w:rPr>
                <w:rFonts w:ascii="Arial" w:hAnsi="Arial" w:cs="Arial"/>
                <w:b/>
                <w:bCs/>
                <w:color w:val="FF0000"/>
              </w:rPr>
              <w:t>um</w:t>
            </w:r>
            <w:proofErr w:type="gramEnd"/>
            <w:r w:rsidRPr="00684AEC">
              <w:rPr>
                <w:rFonts w:ascii="Arial" w:hAnsi="Arial" w:cs="Arial"/>
                <w:b/>
                <w:bCs/>
                <w:color w:val="FF0000"/>
              </w:rPr>
              <w:t xml:space="preserve"> a cinco dias, para infrações leves;</w:t>
            </w:r>
          </w:p>
          <w:p w14:paraId="3E2AF2F2" w14:textId="77777777" w:rsidR="00696E10" w:rsidRPr="00684AEC" w:rsidRDefault="00696E10" w:rsidP="00696E1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684AEC">
              <w:rPr>
                <w:rFonts w:ascii="Arial" w:hAnsi="Arial" w:cs="Arial"/>
                <w:b/>
                <w:bCs/>
                <w:color w:val="FF0000"/>
              </w:rPr>
              <w:t xml:space="preserve">II - </w:t>
            </w:r>
            <w:proofErr w:type="gramStart"/>
            <w:r w:rsidRPr="00684AEC">
              <w:rPr>
                <w:rFonts w:ascii="Arial" w:hAnsi="Arial" w:cs="Arial"/>
                <w:b/>
                <w:bCs/>
                <w:color w:val="FF0000"/>
              </w:rPr>
              <w:t>seis</w:t>
            </w:r>
            <w:proofErr w:type="gramEnd"/>
            <w:r w:rsidRPr="00684AEC">
              <w:rPr>
                <w:rFonts w:ascii="Arial" w:hAnsi="Arial" w:cs="Arial"/>
                <w:b/>
                <w:bCs/>
                <w:color w:val="FF0000"/>
              </w:rPr>
              <w:t xml:space="preserve"> a dez dias, para infrações médias;</w:t>
            </w:r>
          </w:p>
          <w:p w14:paraId="10B6FFF7" w14:textId="77777777" w:rsidR="00696E10" w:rsidRPr="00684AEC" w:rsidRDefault="00696E10" w:rsidP="00696E1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684AEC">
              <w:rPr>
                <w:rFonts w:ascii="Arial" w:hAnsi="Arial" w:cs="Arial"/>
                <w:b/>
                <w:bCs/>
                <w:color w:val="FF0000"/>
              </w:rPr>
              <w:t>III - onze a vinte dias, para infrações graves; e</w:t>
            </w:r>
          </w:p>
          <w:p w14:paraId="289C31CC" w14:textId="77777777" w:rsidR="00212850" w:rsidRPr="00684AEC" w:rsidRDefault="00696E10" w:rsidP="0021285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684AEC">
              <w:rPr>
                <w:rFonts w:ascii="Arial" w:hAnsi="Arial" w:cs="Arial"/>
                <w:b/>
                <w:bCs/>
                <w:color w:val="FF0000"/>
              </w:rPr>
              <w:t xml:space="preserve">IV - </w:t>
            </w:r>
            <w:proofErr w:type="gramStart"/>
            <w:r w:rsidRPr="00684AEC">
              <w:rPr>
                <w:rFonts w:ascii="Arial" w:hAnsi="Arial" w:cs="Arial"/>
                <w:b/>
                <w:bCs/>
                <w:color w:val="FF0000"/>
              </w:rPr>
              <w:t>vinte e um</w:t>
            </w:r>
            <w:proofErr w:type="gramEnd"/>
            <w:r w:rsidRPr="00684AEC">
              <w:rPr>
                <w:rFonts w:ascii="Arial" w:hAnsi="Arial" w:cs="Arial"/>
                <w:b/>
                <w:bCs/>
                <w:color w:val="FF0000"/>
              </w:rPr>
              <w:t xml:space="preserve"> a trinta dias, para infrações gravíssim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>as.</w:t>
            </w:r>
          </w:p>
          <w:p w14:paraId="36FB4EBB" w14:textId="77777777" w:rsidR="00604ACF" w:rsidRDefault="00604ACF" w:rsidP="0021285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</w:p>
          <w:p w14:paraId="57A71BC7" w14:textId="12C1FC5E" w:rsidR="00696E10" w:rsidRDefault="00696E10" w:rsidP="0021285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.................................................................................................</w:t>
            </w:r>
            <w:r w:rsidR="00604ACF">
              <w:rPr>
                <w:rFonts w:ascii="Arial" w:hAnsi="Arial" w:cs="Arial"/>
                <w:color w:val="162937"/>
              </w:rPr>
              <w:t>.....................................................</w:t>
            </w:r>
          </w:p>
          <w:p w14:paraId="2420096C" w14:textId="77777777" w:rsidR="00212850" w:rsidRDefault="00212850" w:rsidP="00696E1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</w:p>
          <w:p w14:paraId="40E19548" w14:textId="444848DC" w:rsidR="00696E10" w:rsidRDefault="00696E10" w:rsidP="00696E10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 xml:space="preserve">§ 3º A sanção de suspensão poderá ser convertida em multa, desde que o infrator não tenha registro de quinze ou mais antecedentes 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>e que proceda à regularização da infração cometida</w:t>
            </w:r>
            <w:r>
              <w:rPr>
                <w:rFonts w:ascii="Arial" w:hAnsi="Arial" w:cs="Arial"/>
                <w:color w:val="162937"/>
              </w:rPr>
              <w:t>". (NR)</w:t>
            </w:r>
          </w:p>
          <w:p w14:paraId="7073D98E" w14:textId="77777777" w:rsidR="00604ACF" w:rsidRDefault="00604ACF" w:rsidP="00212850"/>
          <w:p w14:paraId="096B6298" w14:textId="0B6DD8A6" w:rsidR="00696E10" w:rsidRDefault="00212850" w:rsidP="00212850">
            <w:r>
              <w:t>.</w:t>
            </w:r>
            <w:r w:rsidR="00604ACF">
              <w:t>.......................................................................</w:t>
            </w:r>
            <w:r>
              <w:t>.......</w:t>
            </w:r>
          </w:p>
        </w:tc>
      </w:tr>
      <w:tr w:rsidR="00696E10" w14:paraId="38E6A369" w14:textId="77777777" w:rsidTr="00696E10">
        <w:tc>
          <w:tcPr>
            <w:tcW w:w="4673" w:type="dxa"/>
          </w:tcPr>
          <w:p w14:paraId="2D5D2AA6" w14:textId="77777777" w:rsidR="00212850" w:rsidRDefault="00212850">
            <w:pPr>
              <w:rPr>
                <w:rFonts w:ascii="Arial" w:hAnsi="Arial" w:cs="Arial"/>
                <w:sz w:val="24"/>
                <w:szCs w:val="24"/>
              </w:rPr>
            </w:pPr>
            <w:r w:rsidRPr="00212850">
              <w:rPr>
                <w:rFonts w:ascii="Arial" w:hAnsi="Arial" w:cs="Arial"/>
                <w:sz w:val="24"/>
                <w:szCs w:val="24"/>
              </w:rPr>
              <w:lastRenderedPageBreak/>
              <w:t xml:space="preserve">Art. 63. A sanção de cassação poderá ser aplicada nas hipóteses previstas em lei, regulamentação ou instrumentos de outorga. (Origem: PRT GM/MCOM 9.410/2023, art. 74-T, caput) </w:t>
            </w:r>
          </w:p>
          <w:p w14:paraId="4A9F8ABD" w14:textId="77777777" w:rsidR="00212850" w:rsidRDefault="00212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99B9A" w14:textId="77777777" w:rsidR="00212850" w:rsidRDefault="00212850">
            <w:pPr>
              <w:rPr>
                <w:rFonts w:ascii="Arial" w:hAnsi="Arial" w:cs="Arial"/>
                <w:sz w:val="24"/>
                <w:szCs w:val="24"/>
              </w:rPr>
            </w:pPr>
            <w:r w:rsidRPr="00212850">
              <w:rPr>
                <w:rFonts w:ascii="Arial" w:hAnsi="Arial" w:cs="Arial"/>
                <w:sz w:val="24"/>
                <w:szCs w:val="24"/>
              </w:rPr>
              <w:t xml:space="preserve">§ 1º A cassação poderá ser convertida em multa, desde que o infrator não tenha registro de quinze ou mais antecedentes e que proceda à regularização da infração cometida. (Origem: PRT GM/MCOM 9.410/2023, art. 74-T, § 1º) </w:t>
            </w:r>
          </w:p>
          <w:p w14:paraId="087F9BAA" w14:textId="77777777" w:rsidR="00212850" w:rsidRDefault="002128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F64C2B" w14:textId="01E34FF8" w:rsidR="00696E10" w:rsidRPr="00212850" w:rsidRDefault="00212850">
            <w:pPr>
              <w:rPr>
                <w:rFonts w:ascii="Arial" w:hAnsi="Arial" w:cs="Arial"/>
                <w:sz w:val="24"/>
                <w:szCs w:val="24"/>
              </w:rPr>
            </w:pPr>
            <w:r w:rsidRPr="00212850">
              <w:rPr>
                <w:rFonts w:ascii="Arial" w:hAnsi="Arial" w:cs="Arial"/>
                <w:sz w:val="24"/>
                <w:szCs w:val="24"/>
              </w:rPr>
              <w:t xml:space="preserve">§ 2º Na hipótese de conversão de que trata o § 1º, o valor da multa </w:t>
            </w:r>
            <w:r w:rsidRPr="00684AEC">
              <w:rPr>
                <w:rFonts w:ascii="Arial" w:hAnsi="Arial" w:cs="Arial"/>
                <w:sz w:val="24"/>
                <w:szCs w:val="24"/>
              </w:rPr>
              <w:t xml:space="preserve">será </w:t>
            </w:r>
            <w:r w:rsidRPr="00684AEC">
              <w:rPr>
                <w:rFonts w:ascii="Arial" w:hAnsi="Arial" w:cs="Arial"/>
                <w:sz w:val="24"/>
                <w:szCs w:val="24"/>
                <w:highlight w:val="yellow"/>
              </w:rPr>
              <w:t>sempre</w:t>
            </w:r>
            <w:r w:rsidRPr="00212850">
              <w:rPr>
                <w:rFonts w:ascii="Arial" w:hAnsi="Arial" w:cs="Arial"/>
                <w:sz w:val="24"/>
                <w:szCs w:val="24"/>
              </w:rPr>
              <w:t xml:space="preserve"> equivalente ao valor </w:t>
            </w:r>
            <w:r w:rsidRPr="00684AEC">
              <w:rPr>
                <w:rFonts w:ascii="Arial" w:hAnsi="Arial" w:cs="Arial"/>
                <w:sz w:val="24"/>
                <w:szCs w:val="24"/>
              </w:rPr>
              <w:t xml:space="preserve">máximo </w:t>
            </w:r>
            <w:r w:rsidRPr="00684AEC">
              <w:rPr>
                <w:rFonts w:ascii="Arial" w:hAnsi="Arial" w:cs="Arial"/>
                <w:sz w:val="24"/>
                <w:szCs w:val="24"/>
                <w:highlight w:val="yellow"/>
              </w:rPr>
              <w:t>vigente à época da infração estabelecido conforme art. 57, caput.</w:t>
            </w:r>
            <w:r w:rsidRPr="00212850">
              <w:rPr>
                <w:rFonts w:ascii="Arial" w:hAnsi="Arial" w:cs="Arial"/>
                <w:sz w:val="24"/>
                <w:szCs w:val="24"/>
              </w:rPr>
              <w:t xml:space="preserve"> (Origem: PRT GM/MCOM 9.410/2023, art. 74-T, § 2º)</w:t>
            </w:r>
          </w:p>
        </w:tc>
        <w:tc>
          <w:tcPr>
            <w:tcW w:w="5225" w:type="dxa"/>
          </w:tcPr>
          <w:p w14:paraId="09FBE25A" w14:textId="3DE12020" w:rsidR="00684AEC" w:rsidRDefault="00684AEC" w:rsidP="00684AEC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684AEC">
              <w:rPr>
                <w:rFonts w:ascii="Arial" w:hAnsi="Arial" w:cs="Arial"/>
                <w:b/>
                <w:bCs/>
                <w:color w:val="FF0000"/>
              </w:rPr>
              <w:t>CAPUT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E339F1">
              <w:rPr>
                <w:rFonts w:ascii="Arial" w:hAnsi="Arial" w:cs="Arial"/>
                <w:b/>
                <w:bCs/>
                <w:color w:val="FF0000"/>
              </w:rPr>
              <w:t>e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 xml:space="preserve">§ </w:t>
            </w:r>
            <w:r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 xml:space="preserve">º </w:t>
            </w:r>
            <w:r>
              <w:rPr>
                <w:rFonts w:ascii="Arial" w:hAnsi="Arial" w:cs="Arial"/>
                <w:b/>
                <w:bCs/>
                <w:color w:val="FF0000"/>
              </w:rPr>
              <w:t>I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>NALTERADOS</w:t>
            </w:r>
            <w:r>
              <w:rPr>
                <w:rFonts w:ascii="Arial" w:hAnsi="Arial" w:cs="Arial"/>
                <w:b/>
                <w:bCs/>
                <w:color w:val="FF0000"/>
              </w:rPr>
              <w:t>:</w:t>
            </w:r>
          </w:p>
          <w:p w14:paraId="4F276355" w14:textId="77777777" w:rsidR="00684AEC" w:rsidRDefault="00684AEC" w:rsidP="00884BDD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</w:p>
          <w:p w14:paraId="5992DCCB" w14:textId="77777777" w:rsidR="00684AEC" w:rsidRDefault="00684AEC" w:rsidP="00884BDD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</w:p>
          <w:p w14:paraId="0D7D8880" w14:textId="351AA0AD" w:rsidR="00212850" w:rsidRDefault="00212850" w:rsidP="00884BDD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Art. 6</w:t>
            </w:r>
            <w:r>
              <w:rPr>
                <w:rFonts w:ascii="Arial" w:hAnsi="Arial" w:cs="Arial"/>
                <w:color w:val="162937"/>
              </w:rPr>
              <w:t xml:space="preserve">3 </w:t>
            </w:r>
            <w:r>
              <w:rPr>
                <w:rFonts w:ascii="Arial" w:hAnsi="Arial" w:cs="Arial"/>
                <w:color w:val="162937"/>
              </w:rPr>
              <w:t>.....................................</w:t>
            </w:r>
            <w:r>
              <w:rPr>
                <w:rFonts w:ascii="Arial" w:hAnsi="Arial" w:cs="Arial"/>
                <w:color w:val="162937"/>
              </w:rPr>
              <w:t>...........................</w:t>
            </w:r>
          </w:p>
          <w:p w14:paraId="0BDDF462" w14:textId="16FCF297" w:rsidR="00212850" w:rsidRDefault="00212850" w:rsidP="00884BDD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color w:val="162937"/>
              </w:rPr>
              <w:t>........</w:t>
            </w:r>
            <w:r>
              <w:rPr>
                <w:rFonts w:ascii="Arial" w:hAnsi="Arial" w:cs="Arial"/>
                <w:color w:val="162937"/>
              </w:rPr>
              <w:t>.</w:t>
            </w:r>
          </w:p>
          <w:p w14:paraId="5CF4FE62" w14:textId="77777777" w:rsidR="00212850" w:rsidRPr="00684AEC" w:rsidRDefault="00212850" w:rsidP="00884BDD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color w:val="162937"/>
              </w:rPr>
              <w:t xml:space="preserve">§ 2º Na hipótese da conversão de que trata o § 1º, o valor da multa será equivalente ao valor máximo 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>da multa base</w:t>
            </w:r>
            <w:r w:rsidRPr="00684AEC">
              <w:rPr>
                <w:rFonts w:ascii="Arial" w:hAnsi="Arial" w:cs="Arial"/>
                <w:color w:val="FF0000"/>
              </w:rPr>
              <w:t xml:space="preserve"> </w:t>
            </w:r>
            <w:r w:rsidRPr="00684AEC">
              <w:rPr>
                <w:rFonts w:ascii="Arial" w:hAnsi="Arial" w:cs="Arial"/>
                <w:b/>
                <w:bCs/>
                <w:color w:val="FF0000"/>
              </w:rPr>
              <w:t>para infração gravíssima alcançado pela aplicação da metodologia de cálculo prevista no art. 58.</w:t>
            </w:r>
          </w:p>
          <w:p w14:paraId="3DCFEAF1" w14:textId="77777777" w:rsidR="00212850" w:rsidRDefault="00212850" w:rsidP="00884BDD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..............................................................................................................." (NR)</w:t>
            </w:r>
          </w:p>
          <w:p w14:paraId="77D4C717" w14:textId="77777777" w:rsidR="00696E10" w:rsidRDefault="00696E10"/>
        </w:tc>
      </w:tr>
      <w:tr w:rsidR="00696E10" w14:paraId="0527246A" w14:textId="77777777" w:rsidTr="00696E10">
        <w:tc>
          <w:tcPr>
            <w:tcW w:w="4673" w:type="dxa"/>
          </w:tcPr>
          <w:p w14:paraId="03BCCC10" w14:textId="77777777" w:rsidR="00884BDD" w:rsidRDefault="00884BDD">
            <w:pPr>
              <w:rPr>
                <w:rFonts w:ascii="Arial" w:hAnsi="Arial" w:cs="Arial"/>
                <w:sz w:val="24"/>
                <w:szCs w:val="24"/>
              </w:rPr>
            </w:pPr>
            <w:r w:rsidRPr="00884BDD">
              <w:rPr>
                <w:rFonts w:ascii="Arial" w:hAnsi="Arial" w:cs="Arial"/>
                <w:sz w:val="24"/>
                <w:szCs w:val="24"/>
              </w:rPr>
              <w:t xml:space="preserve">Art. 70. Da decisão que aplicar sanção prevista no Capítulo I, do Título I, do Livro VI, caberá um único recurso, em face de razões de fato e de direito, que deverá ser interposto no prazo de trinta dias, a contar da notificação do interessado. (Origem: PRT GM/MCOM 9.410/2023, art. 74-AA, caput) </w:t>
            </w:r>
          </w:p>
          <w:p w14:paraId="347B1A09" w14:textId="77777777" w:rsidR="00884BDD" w:rsidRDefault="00884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59778" w14:textId="77777777" w:rsidR="00884BDD" w:rsidRDefault="00884BDD">
            <w:pPr>
              <w:rPr>
                <w:rFonts w:ascii="Arial" w:hAnsi="Arial" w:cs="Arial"/>
                <w:sz w:val="24"/>
                <w:szCs w:val="24"/>
              </w:rPr>
            </w:pPr>
            <w:r w:rsidRPr="00884BDD">
              <w:rPr>
                <w:rFonts w:ascii="Arial" w:hAnsi="Arial" w:cs="Arial"/>
                <w:sz w:val="24"/>
                <w:szCs w:val="24"/>
              </w:rPr>
              <w:t xml:space="preserve">§ 1º O recurso será dirigido à autoridade que proferiu a decisão, a qual, se não a reconsiderar, no prazo de cinco dias, o encaminhará à autoridade superior. (Origem: PRT GM/MCOM 9.410/2023, art. 74-AA, § 1º) </w:t>
            </w:r>
          </w:p>
          <w:p w14:paraId="37370285" w14:textId="77777777" w:rsidR="00884BDD" w:rsidRDefault="00884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A6E1F" w14:textId="0FE09EC1" w:rsidR="00884BDD" w:rsidRDefault="00884BDD">
            <w:pPr>
              <w:rPr>
                <w:rFonts w:ascii="Arial" w:hAnsi="Arial" w:cs="Arial"/>
                <w:sz w:val="24"/>
                <w:szCs w:val="24"/>
              </w:rPr>
            </w:pPr>
            <w:r w:rsidRPr="00884BDD">
              <w:rPr>
                <w:rFonts w:ascii="Arial" w:hAnsi="Arial" w:cs="Arial"/>
                <w:sz w:val="24"/>
                <w:szCs w:val="24"/>
              </w:rPr>
              <w:t xml:space="preserve">§ 2º A interposição do recurso independe de caução. (Origem: PRT GM/MCOM 9.410/2023, art. 74-AA, § 2º) </w:t>
            </w:r>
          </w:p>
          <w:p w14:paraId="30F25F6F" w14:textId="77777777" w:rsidR="00884BDD" w:rsidRDefault="00884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7B5E9" w14:textId="449F5E53" w:rsidR="00696E10" w:rsidRPr="00884BDD" w:rsidRDefault="00884BDD">
            <w:pPr>
              <w:rPr>
                <w:rFonts w:ascii="Arial" w:hAnsi="Arial" w:cs="Arial"/>
                <w:sz w:val="24"/>
                <w:szCs w:val="24"/>
              </w:rPr>
            </w:pPr>
            <w:r w:rsidRPr="00884BDD">
              <w:rPr>
                <w:rFonts w:ascii="Arial" w:hAnsi="Arial" w:cs="Arial"/>
                <w:sz w:val="24"/>
                <w:szCs w:val="24"/>
              </w:rPr>
              <w:t>§ 3º Caso o infrator renuncie expressamente ao direito de recorrer da decisão de primeira instância administrativa que impuser a multa, no prazo constante do caput, fará jus a um desconto de 25% (vinte e cinco por cento) no valor da multa aplicada, desde que realize o pagamento no prazo de quarenta dias a contar da data em que foi notificado da decisão. (Origem: PRT GM/MCOM 9.410/2023, art. 74-AA, § 3º)</w:t>
            </w:r>
          </w:p>
        </w:tc>
        <w:tc>
          <w:tcPr>
            <w:tcW w:w="5225" w:type="dxa"/>
          </w:tcPr>
          <w:p w14:paraId="36562E6C" w14:textId="0A701395" w:rsidR="00E339F1" w:rsidRDefault="00E339F1" w:rsidP="00E339F1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Inserido o </w:t>
            </w:r>
            <w:r w:rsidRPr="00E339F1">
              <w:rPr>
                <w:rFonts w:ascii="Arial" w:hAnsi="Arial" w:cs="Arial"/>
                <w:b/>
                <w:bCs/>
                <w:color w:val="FF0000"/>
              </w:rPr>
              <w:t>§ 4º</w:t>
            </w:r>
          </w:p>
          <w:p w14:paraId="573002B2" w14:textId="77777777" w:rsidR="00E339F1" w:rsidRDefault="00E339F1" w:rsidP="00884BDD">
            <w:pPr>
              <w:pStyle w:val="dou-paragraph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162937"/>
              </w:rPr>
            </w:pPr>
          </w:p>
          <w:p w14:paraId="32FC9419" w14:textId="15EA4399" w:rsidR="00884BDD" w:rsidRDefault="00884BDD" w:rsidP="00884BDD">
            <w:pPr>
              <w:pStyle w:val="dou-paragraph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Art. 70................................</w:t>
            </w:r>
            <w:r>
              <w:rPr>
                <w:rFonts w:ascii="Arial" w:hAnsi="Arial" w:cs="Arial"/>
                <w:color w:val="162937"/>
              </w:rPr>
              <w:t>...</w:t>
            </w:r>
            <w:r>
              <w:rPr>
                <w:rFonts w:ascii="Arial" w:hAnsi="Arial" w:cs="Arial"/>
                <w:color w:val="162937"/>
              </w:rPr>
              <w:t>.............................</w:t>
            </w:r>
          </w:p>
          <w:p w14:paraId="1ECA5488" w14:textId="5D282B48" w:rsidR="00884BDD" w:rsidRDefault="00884BDD" w:rsidP="00884BDD">
            <w:pPr>
              <w:pStyle w:val="dou-paragraph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color w:val="162937"/>
              </w:rPr>
              <w:t>......................................</w:t>
            </w:r>
          </w:p>
          <w:p w14:paraId="3FAA590D" w14:textId="5DD8A001" w:rsidR="00696E10" w:rsidRPr="00E339F1" w:rsidRDefault="00884BDD" w:rsidP="00884BDD">
            <w:pPr>
              <w:pStyle w:val="dou-paragraph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</w:rPr>
            </w:pPr>
            <w:r w:rsidRPr="00E339F1">
              <w:rPr>
                <w:rFonts w:ascii="Arial" w:hAnsi="Arial" w:cs="Arial"/>
                <w:b/>
                <w:bCs/>
                <w:color w:val="FF0000"/>
              </w:rPr>
              <w:t>§ 4º Aos processos administrativos que, na data de vigência da Portaria MCOM nº 9.410, de 10 de maio de 2023, estavam pendentes de julgamento de recurso interposto pelo interessado, aplica-se o disposto no § 3º deste artigo, desde que o interessado desista formalmente do recurso antes da decisão administrativa definitiva." (NR)</w:t>
            </w:r>
          </w:p>
        </w:tc>
      </w:tr>
      <w:tr w:rsidR="00696E10" w14:paraId="279E478E" w14:textId="77777777" w:rsidTr="00696E10">
        <w:tc>
          <w:tcPr>
            <w:tcW w:w="4673" w:type="dxa"/>
          </w:tcPr>
          <w:p w14:paraId="49ACB513" w14:textId="7F59460E" w:rsidR="00696E10" w:rsidRPr="00604ACF" w:rsidRDefault="00604ACF">
            <w:pPr>
              <w:rPr>
                <w:rFonts w:ascii="Arial" w:hAnsi="Arial" w:cs="Arial"/>
                <w:sz w:val="24"/>
                <w:szCs w:val="24"/>
              </w:rPr>
            </w:pPr>
            <w:r w:rsidRPr="00604ACF">
              <w:rPr>
                <w:rFonts w:ascii="Arial" w:hAnsi="Arial" w:cs="Arial"/>
                <w:sz w:val="24"/>
                <w:szCs w:val="24"/>
              </w:rPr>
              <w:lastRenderedPageBreak/>
              <w:t>Art. 77. As normas deste Capítulo que tenham impacto em infrações ou penalizações são aplicáveis aos processos pendentes de julgamento definitivo nos termos do art. 65-A da Lei nº 4.117, de 1962. (Origem: PRT GM/MCOM 9.410/2023, art. 74-AH, caput)</w:t>
            </w:r>
          </w:p>
        </w:tc>
        <w:tc>
          <w:tcPr>
            <w:tcW w:w="5225" w:type="dxa"/>
          </w:tcPr>
          <w:p w14:paraId="5A53B8F1" w14:textId="2504C786" w:rsidR="00E339F1" w:rsidRDefault="00604ACF" w:rsidP="00884BDD">
            <w:pPr>
              <w:pStyle w:val="dou-paragraph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884BDD">
              <w:rPr>
                <w:rFonts w:ascii="Arial" w:hAnsi="Arial" w:cs="Arial"/>
                <w:b/>
                <w:bCs/>
                <w:color w:val="FF0000"/>
              </w:rPr>
              <w:t>INSERIDO</w:t>
            </w:r>
            <w:r w:rsidR="00E339F1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E339F1" w:rsidRPr="00E339F1">
              <w:rPr>
                <w:rFonts w:ascii="Arial" w:hAnsi="Arial" w:cs="Arial"/>
                <w:b/>
                <w:bCs/>
                <w:color w:val="FF0000"/>
              </w:rPr>
              <w:t>Art. 77-A</w:t>
            </w:r>
            <w:r w:rsidR="00E339F1">
              <w:rPr>
                <w:rFonts w:ascii="Arial" w:hAnsi="Arial" w:cs="Arial"/>
                <w:b/>
                <w:bCs/>
                <w:color w:val="FF0000"/>
              </w:rPr>
              <w:t>:</w:t>
            </w:r>
          </w:p>
          <w:p w14:paraId="1069B203" w14:textId="58EACEA4" w:rsidR="00884BDD" w:rsidRDefault="00884BDD" w:rsidP="00884BDD">
            <w:pPr>
              <w:pStyle w:val="dou-paragraph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 xml:space="preserve">Art. 77-A. Aos processos administrativos que, na data de vigência da Portaria MCOM nº 9.410, de 10 de maio de 2023, estavam pendentes de julgamento de recurso interposto pelo interessado, aplica-se o disposto nos </w:t>
            </w:r>
            <w:proofErr w:type="spellStart"/>
            <w:r>
              <w:rPr>
                <w:rFonts w:ascii="Arial" w:hAnsi="Arial" w:cs="Arial"/>
                <w:color w:val="162937"/>
              </w:rPr>
              <w:t>arts</w:t>
            </w:r>
            <w:proofErr w:type="spellEnd"/>
            <w:r>
              <w:rPr>
                <w:rFonts w:ascii="Arial" w:hAnsi="Arial" w:cs="Arial"/>
                <w:color w:val="162937"/>
              </w:rPr>
              <w:t>. 55 e 61 desta Portaria, com redação dada pela Portaria MCOM nº 9.410, de 10 de maio de 2023.</w:t>
            </w:r>
          </w:p>
          <w:p w14:paraId="41DED117" w14:textId="77777777" w:rsidR="00884BDD" w:rsidRDefault="00884BDD" w:rsidP="00884BDD">
            <w:pPr>
              <w:pStyle w:val="dou-paragraph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§ 1º Nos casos de que trata o caput, o interessado deverá apresentar requerimento ao Ministério das Comunicações, acompanhado da documentação exigida por esta Portaria, antes da decisão administrativa definitiva.</w:t>
            </w:r>
          </w:p>
          <w:p w14:paraId="01AB6715" w14:textId="2E2CCFAA" w:rsidR="00696E10" w:rsidRDefault="00884BDD" w:rsidP="00884BDD">
            <w:pPr>
              <w:pStyle w:val="dou-paragraph"/>
              <w:shd w:val="clear" w:color="auto" w:fill="FFFFFF"/>
              <w:spacing w:before="0" w:beforeAutospacing="0" w:after="150" w:afterAutospacing="0"/>
              <w:jc w:val="both"/>
            </w:pPr>
            <w:r>
              <w:rPr>
                <w:rFonts w:ascii="Arial" w:hAnsi="Arial" w:cs="Arial"/>
                <w:color w:val="162937"/>
              </w:rPr>
              <w:t>§ 2º No caso de requerimento de redução de multa, com base no § 1º do art. 61 desta Portaria, aos casos de que trata o caput, aplica-se o desconto de 35% (trinta e cinco por cento)." (NR)</w:t>
            </w:r>
          </w:p>
        </w:tc>
      </w:tr>
    </w:tbl>
    <w:p w14:paraId="1DB77A1C" w14:textId="77777777" w:rsidR="00696E10" w:rsidRDefault="00696E10"/>
    <w:p w14:paraId="7040059C" w14:textId="21F89C3F" w:rsidR="00604ACF" w:rsidRPr="00604ACF" w:rsidRDefault="00604ACF" w:rsidP="00604ACF">
      <w:pPr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 w:rsidRPr="00604ACF">
        <w:rPr>
          <w:rFonts w:ascii="Arial" w:hAnsi="Arial" w:cs="Arial"/>
          <w:b/>
          <w:bCs/>
          <w:sz w:val="24"/>
          <w:szCs w:val="24"/>
        </w:rPr>
        <w:t xml:space="preserve">ALTERAÇÕES PROMOVIDAS NA </w:t>
      </w:r>
      <w:r w:rsidRPr="00604ACF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PORTARIA </w:t>
      </w:r>
      <w:r w:rsidRPr="00604ACF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Nº 462, DE 12 DE </w:t>
      </w:r>
      <w:r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N</w:t>
      </w:r>
      <w:r w:rsidRPr="00604ACF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OVEMBRO DE 2012</w:t>
      </w:r>
      <w:r w:rsidR="00C1688D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(</w:t>
      </w:r>
      <w:r w:rsidR="00C1688D" w:rsidRPr="00C1688D">
        <w:rPr>
          <w:rFonts w:ascii="Arial" w:hAnsi="Arial" w:cs="Arial"/>
          <w:b/>
          <w:bCs/>
          <w:sz w:val="24"/>
          <w:szCs w:val="24"/>
        </w:rPr>
        <w:t>REGULAMENTA OS PROCEDIMENTOS RELATIVOS À DISPONIBILIZAÇÃO, À CLASSIFICAÇÃO, AO TRATAMENTO E À GESTÃO DA INFORMAÇÃO DE NATUREZA RESTRITA E SIGILOSA NO ÂMBITO DO MINISTÉRIO DAS COMUNICAÇÕES</w:t>
      </w:r>
      <w:r w:rsidR="00C1688D">
        <w:rPr>
          <w:rFonts w:ascii="Arial" w:hAnsi="Arial" w:cs="Arial"/>
          <w:b/>
          <w:bCs/>
          <w:sz w:val="24"/>
          <w:szCs w:val="24"/>
        </w:rPr>
        <w:t>);</w:t>
      </w:r>
      <w:r w:rsidRPr="00604ACF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Pr="00604ACF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PELA </w:t>
      </w:r>
      <w:r w:rsidRPr="00604ACF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PORTARIA MCOM Nº 16.237, DE 4 DE FEVEREIRO DE 2025:</w:t>
      </w:r>
    </w:p>
    <w:p w14:paraId="0FC37FDD" w14:textId="77777777" w:rsidR="00604ACF" w:rsidRDefault="00604ACF" w:rsidP="00604ACF">
      <w:pPr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604ACF" w:rsidRPr="00684AEC" w14:paraId="559455BD" w14:textId="77777777" w:rsidTr="00604ACF">
        <w:tc>
          <w:tcPr>
            <w:tcW w:w="4673" w:type="dxa"/>
            <w:shd w:val="clear" w:color="auto" w:fill="E8E8E8" w:themeFill="background2"/>
          </w:tcPr>
          <w:p w14:paraId="74C418A1" w14:textId="77777777" w:rsidR="00604ACF" w:rsidRPr="00684AEC" w:rsidRDefault="00604ACF" w:rsidP="006B10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AEC">
              <w:rPr>
                <w:rFonts w:ascii="Arial" w:hAnsi="Arial" w:cs="Arial"/>
                <w:b/>
                <w:bCs/>
                <w:sz w:val="24"/>
                <w:szCs w:val="24"/>
              </w:rPr>
              <w:t>COMO ERA</w:t>
            </w:r>
          </w:p>
        </w:tc>
        <w:tc>
          <w:tcPr>
            <w:tcW w:w="5103" w:type="dxa"/>
            <w:shd w:val="clear" w:color="auto" w:fill="E8E8E8" w:themeFill="background2"/>
          </w:tcPr>
          <w:p w14:paraId="21F1D565" w14:textId="77777777" w:rsidR="00604ACF" w:rsidRPr="00684AEC" w:rsidRDefault="00604ACF" w:rsidP="006B10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4AEC">
              <w:rPr>
                <w:rFonts w:ascii="Arial" w:hAnsi="Arial" w:cs="Arial"/>
                <w:b/>
                <w:bCs/>
                <w:sz w:val="24"/>
                <w:szCs w:val="24"/>
              </w:rPr>
              <w:t>COMO FICOU</w:t>
            </w:r>
          </w:p>
        </w:tc>
      </w:tr>
      <w:tr w:rsidR="00604ACF" w14:paraId="54559B71" w14:textId="77777777" w:rsidTr="00604ACF">
        <w:tc>
          <w:tcPr>
            <w:tcW w:w="4673" w:type="dxa"/>
          </w:tcPr>
          <w:p w14:paraId="43002F24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>Art. 4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  <w:r w:rsidRPr="00C1688D">
              <w:rPr>
                <w:rFonts w:ascii="Arial" w:hAnsi="Arial" w:cs="Arial"/>
                <w:sz w:val="24"/>
                <w:szCs w:val="24"/>
              </w:rPr>
              <w:t xml:space="preserve"> O Ministério das Comunicações manterá, independentemente de classificação, acesso restrito em relação às informações e documentos, sob seu controle e posse, mantidas em qualquer suporte, relacionadas a: </w:t>
            </w:r>
          </w:p>
          <w:p w14:paraId="4FF6778D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I - </w:t>
            </w:r>
            <w:proofErr w:type="gramStart"/>
            <w:r w:rsidRPr="00C1688D">
              <w:rPr>
                <w:rFonts w:ascii="Arial" w:hAnsi="Arial" w:cs="Arial"/>
                <w:sz w:val="24"/>
                <w:szCs w:val="24"/>
              </w:rPr>
              <w:t>informações</w:t>
            </w:r>
            <w:proofErr w:type="gramEnd"/>
            <w:r w:rsidRPr="00C1688D">
              <w:rPr>
                <w:rFonts w:ascii="Arial" w:hAnsi="Arial" w:cs="Arial"/>
                <w:sz w:val="24"/>
                <w:szCs w:val="24"/>
              </w:rPr>
              <w:t xml:space="preserve"> pessoais; </w:t>
            </w:r>
          </w:p>
          <w:p w14:paraId="44BBE7DE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II - </w:t>
            </w:r>
            <w:proofErr w:type="gramStart"/>
            <w:r w:rsidRPr="00C1688D">
              <w:rPr>
                <w:rFonts w:ascii="Arial" w:hAnsi="Arial" w:cs="Arial"/>
                <w:sz w:val="24"/>
                <w:szCs w:val="24"/>
              </w:rPr>
              <w:t>informações</w:t>
            </w:r>
            <w:proofErr w:type="gramEnd"/>
            <w:r w:rsidRPr="00C1688D">
              <w:rPr>
                <w:rFonts w:ascii="Arial" w:hAnsi="Arial" w:cs="Arial"/>
                <w:sz w:val="24"/>
                <w:szCs w:val="24"/>
              </w:rPr>
              <w:t xml:space="preserve"> e documentos caracterizados em normas específicas como de natureza sigilosa, tais como sigilo postal, fiscal, patrimonial ou bancário; </w:t>
            </w:r>
          </w:p>
          <w:p w14:paraId="5C457F24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III - processos judiciais sob segredo de justiça; </w:t>
            </w:r>
          </w:p>
          <w:p w14:paraId="33657461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IV — </w:t>
            </w:r>
            <w:proofErr w:type="gramStart"/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>processos</w:t>
            </w:r>
            <w:proofErr w:type="gramEnd"/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apuração de infração de radiodifusão, em especial os</w:t>
            </w:r>
            <w:r w:rsidRPr="00C1688D">
              <w:rPr>
                <w:rFonts w:ascii="Arial" w:hAnsi="Arial" w:cs="Arial"/>
                <w:sz w:val="24"/>
                <w:szCs w:val="24"/>
              </w:rPr>
              <w:t xml:space="preserve"> documentos relacionados à identificação do denunciante </w:t>
            </w:r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>e ao objeto da denúncia</w:t>
            </w:r>
            <w:r w:rsidRPr="00C1688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C1688D">
              <w:rPr>
                <w:rFonts w:ascii="Arial" w:hAnsi="Arial" w:cs="Arial"/>
                <w:sz w:val="24"/>
                <w:szCs w:val="24"/>
              </w:rPr>
              <w:lastRenderedPageBreak/>
              <w:t xml:space="preserve">V — Processos de Sorteios de Acompanhamento de Radiodifusão, enquanto não comprovada a notificação de todas as entidades em processo de fiscalização, de acordo com os municípios sorteados; </w:t>
            </w:r>
          </w:p>
          <w:p w14:paraId="52EC9155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VI — projetos e anteprojetos de atos normativos até a conclusão do processo de elaboração; </w:t>
            </w:r>
          </w:p>
          <w:p w14:paraId="328B2F9E" w14:textId="5DA98B52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>VII - relatórios e notas técnicas decorrentes de investigações, auditorias e fiscalizações internas, e outros documentos relativos à atividade de controle e correição, quando ainda não concluídos os respectivos procedimentos; VIII - informações de empresas públicas e sociedades de economia mista vinculadas ao Ministério das Comunicações que atuem em regime de concorrência, sujeitas ao disposto no art. 173 da Constituição, nos termos do §1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  <w:r w:rsidRPr="00C1688D">
              <w:rPr>
                <w:rFonts w:ascii="Arial" w:hAnsi="Arial" w:cs="Arial"/>
                <w:sz w:val="24"/>
                <w:szCs w:val="24"/>
              </w:rPr>
              <w:t xml:space="preserve"> do art. 52</w:t>
            </w:r>
            <w:r w:rsidR="00D823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88D">
              <w:rPr>
                <w:rFonts w:ascii="Arial" w:hAnsi="Arial" w:cs="Arial"/>
                <w:sz w:val="24"/>
                <w:szCs w:val="24"/>
              </w:rPr>
              <w:t xml:space="preserve">do Decreto 7.724, de 2012; </w:t>
            </w:r>
          </w:p>
          <w:p w14:paraId="65FB20D9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IX - </w:t>
            </w:r>
            <w:proofErr w:type="gramStart"/>
            <w:r w:rsidRPr="00C1688D">
              <w:rPr>
                <w:rFonts w:ascii="Arial" w:hAnsi="Arial" w:cs="Arial"/>
                <w:sz w:val="24"/>
                <w:szCs w:val="24"/>
              </w:rPr>
              <w:t>informações</w:t>
            </w:r>
            <w:proofErr w:type="gramEnd"/>
            <w:r w:rsidRPr="00C1688D">
              <w:rPr>
                <w:rFonts w:ascii="Arial" w:hAnsi="Arial" w:cs="Arial"/>
                <w:sz w:val="24"/>
                <w:szCs w:val="24"/>
              </w:rPr>
              <w:t xml:space="preserve"> relativas à atividade empresarial de pessoas físicas ou jurídicas de direito privado obtidas pelo Ministério no exercício de atividade de controle, regulação e supervisão da atividade econômica cuja divulgação possa representar vantagem competitiva a outros agentes econômicos; e </w:t>
            </w:r>
          </w:p>
          <w:p w14:paraId="7053682A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X — </w:t>
            </w:r>
            <w:proofErr w:type="gramStart"/>
            <w:r w:rsidRPr="00C1688D">
              <w:rPr>
                <w:rFonts w:ascii="Arial" w:hAnsi="Arial" w:cs="Arial"/>
                <w:sz w:val="24"/>
                <w:szCs w:val="24"/>
              </w:rPr>
              <w:t>demais</w:t>
            </w:r>
            <w:proofErr w:type="gramEnd"/>
            <w:r w:rsidRPr="00C1688D">
              <w:rPr>
                <w:rFonts w:ascii="Arial" w:hAnsi="Arial" w:cs="Arial"/>
                <w:sz w:val="24"/>
                <w:szCs w:val="24"/>
              </w:rPr>
              <w:t xml:space="preserve"> processos até a tomada de decisão pela autoridade competente. </w:t>
            </w:r>
          </w:p>
          <w:p w14:paraId="2942C1BD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5D1BF" w14:textId="5A013ED6" w:rsidR="00C1688D" w:rsidRPr="00D8236D" w:rsidRDefault="00C1688D" w:rsidP="00604AC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>§ 1</w:t>
            </w:r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º </w:t>
            </w:r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O acesso a processos de apuração de infração de que trata o inciso IV do caput será garantido aos interessados, de acordo com a Lei n2.9.784, de 29 de janeiro de 1999, mantido o sigilo da identidade do denunciante e do conteúdo da denúncia até: </w:t>
            </w:r>
          </w:p>
          <w:p w14:paraId="02A7BDC2" w14:textId="77777777" w:rsidR="00C1688D" w:rsidRPr="00D8236D" w:rsidRDefault="00C1688D" w:rsidP="00604AC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I - </w:t>
            </w:r>
            <w:proofErr w:type="gramStart"/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>o</w:t>
            </w:r>
            <w:proofErr w:type="gramEnd"/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momento da notificação para apresentar defesa, nos termos do art. 66 da Lei n 4.117, de 27 de agosto de 1962; ou </w:t>
            </w:r>
          </w:p>
          <w:p w14:paraId="0043AE35" w14:textId="0838B5EB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II — </w:t>
            </w:r>
            <w:proofErr w:type="gramStart"/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>o</w:t>
            </w:r>
            <w:proofErr w:type="gramEnd"/>
            <w:r w:rsidRPr="00D823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arquivamento do processo.</w:t>
            </w:r>
          </w:p>
          <w:p w14:paraId="3AAC8A0C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745DD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>§ 2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  <w:r w:rsidRPr="00C1688D">
              <w:rPr>
                <w:rFonts w:ascii="Arial" w:hAnsi="Arial" w:cs="Arial"/>
                <w:sz w:val="24"/>
                <w:szCs w:val="24"/>
              </w:rPr>
              <w:t xml:space="preserve"> A restrição de acesso às informações prevista no inciso VI do caput se extingue: </w:t>
            </w:r>
          </w:p>
          <w:p w14:paraId="2B2BE6B3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lastRenderedPageBreak/>
              <w:t xml:space="preserve">I — </w:t>
            </w:r>
            <w:proofErr w:type="gramStart"/>
            <w:r w:rsidRPr="00C1688D">
              <w:rPr>
                <w:rFonts w:ascii="Arial" w:hAnsi="Arial" w:cs="Arial"/>
                <w:sz w:val="24"/>
                <w:szCs w:val="24"/>
              </w:rPr>
              <w:t>quando</w:t>
            </w:r>
            <w:proofErr w:type="gramEnd"/>
            <w:r w:rsidRPr="00C1688D">
              <w:rPr>
                <w:rFonts w:ascii="Arial" w:hAnsi="Arial" w:cs="Arial"/>
                <w:sz w:val="24"/>
                <w:szCs w:val="24"/>
              </w:rPr>
              <w:t xml:space="preserve"> se tratar de minuta de ato nor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C1688D">
              <w:rPr>
                <w:rFonts w:ascii="Arial" w:hAnsi="Arial" w:cs="Arial"/>
                <w:sz w:val="24"/>
                <w:szCs w:val="24"/>
              </w:rPr>
              <w:t xml:space="preserve">ativo a ser editado exclusivamente pelo Presidente da República, Ministro de Estado das Comunicações ou por Secretário, a partir da publicação no Diário Oficial da União; e </w:t>
            </w:r>
          </w:p>
          <w:p w14:paraId="0D1E5675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II — </w:t>
            </w:r>
            <w:proofErr w:type="gramStart"/>
            <w:r w:rsidRPr="00C1688D">
              <w:rPr>
                <w:rFonts w:ascii="Arial" w:hAnsi="Arial" w:cs="Arial"/>
                <w:sz w:val="24"/>
                <w:szCs w:val="24"/>
              </w:rPr>
              <w:t>quando</w:t>
            </w:r>
            <w:proofErr w:type="gramEnd"/>
            <w:r w:rsidRPr="00C1688D">
              <w:rPr>
                <w:rFonts w:ascii="Arial" w:hAnsi="Arial" w:cs="Arial"/>
                <w:sz w:val="24"/>
                <w:szCs w:val="24"/>
              </w:rPr>
              <w:t xml:space="preserve"> se tratar de anteprojeto e de projeto de ato normativo a ser aprovado pelo Congresso Nacional, a partir do recebimento pela respectiva Casa Legislativa. </w:t>
            </w:r>
          </w:p>
          <w:p w14:paraId="4E33E45F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E74B1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>§3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  <w:r w:rsidRPr="00C1688D">
              <w:rPr>
                <w:rFonts w:ascii="Arial" w:hAnsi="Arial" w:cs="Arial"/>
                <w:sz w:val="24"/>
                <w:szCs w:val="24"/>
              </w:rPr>
              <w:t xml:space="preserve"> A restrição de acesso às informações prevista no inciso VII do caput se extingue, após a ocorrência dos seguintes eventos: </w:t>
            </w:r>
          </w:p>
          <w:p w14:paraId="2AD2F04E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I — </w:t>
            </w:r>
            <w:proofErr w:type="gramStart"/>
            <w:r w:rsidRPr="00C1688D">
              <w:rPr>
                <w:rFonts w:ascii="Arial" w:hAnsi="Arial" w:cs="Arial"/>
                <w:sz w:val="24"/>
                <w:szCs w:val="24"/>
              </w:rPr>
              <w:t>ação</w:t>
            </w:r>
            <w:proofErr w:type="gramEnd"/>
            <w:r w:rsidRPr="00C168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688D">
              <w:rPr>
                <w:rFonts w:ascii="Arial" w:hAnsi="Arial" w:cs="Arial"/>
                <w:sz w:val="24"/>
                <w:szCs w:val="24"/>
              </w:rPr>
              <w:t>correicional</w:t>
            </w:r>
            <w:proofErr w:type="spellEnd"/>
            <w:r w:rsidRPr="00C1688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172E019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a) procedimento disciplinar instaurado: com a publicação do julgamento pela autoridade competente; </w:t>
            </w:r>
          </w:p>
          <w:p w14:paraId="6F63C1E7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b) investigação preliminar: com o arquivamento do processo em caso de não ser procedente o fato originário da investigação e, no caso contrário, a publicação do julgamento do procedimento disciplinar decorrente da investigação; e </w:t>
            </w:r>
          </w:p>
          <w:p w14:paraId="230C6F31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II - </w:t>
            </w:r>
            <w:proofErr w:type="gramStart"/>
            <w:r w:rsidRPr="00C1688D">
              <w:rPr>
                <w:rFonts w:ascii="Arial" w:hAnsi="Arial" w:cs="Arial"/>
                <w:sz w:val="24"/>
                <w:szCs w:val="24"/>
              </w:rPr>
              <w:t>ações</w:t>
            </w:r>
            <w:proofErr w:type="gramEnd"/>
            <w:r w:rsidRPr="00C1688D">
              <w:rPr>
                <w:rFonts w:ascii="Arial" w:hAnsi="Arial" w:cs="Arial"/>
                <w:sz w:val="24"/>
                <w:szCs w:val="24"/>
              </w:rPr>
              <w:t xml:space="preserve"> de controle: </w:t>
            </w:r>
          </w:p>
          <w:p w14:paraId="70302A85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a) manifestação do demandante, dentro do prazo estabelecido, sobre a possibilidade de divulgação do relatório; b) manifestação da unidade examinada; e </w:t>
            </w:r>
          </w:p>
          <w:p w14:paraId="3F2BB9B6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 xml:space="preserve">c) remessa ao órgão de controle externo, quando norma específica exigir, para providências cabíveis. </w:t>
            </w:r>
          </w:p>
          <w:p w14:paraId="53E0BCD7" w14:textId="77777777" w:rsidR="00C1688D" w:rsidRDefault="00C1688D" w:rsidP="00604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6BA66" w14:textId="37BA230A" w:rsidR="00604ACF" w:rsidRPr="00C1688D" w:rsidRDefault="00C1688D" w:rsidP="00604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88D">
              <w:rPr>
                <w:rFonts w:ascii="Arial" w:hAnsi="Arial" w:cs="Arial"/>
                <w:sz w:val="24"/>
                <w:szCs w:val="24"/>
              </w:rPr>
              <w:t>§4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  <w:r w:rsidRPr="00C1688D">
              <w:rPr>
                <w:rFonts w:ascii="Arial" w:hAnsi="Arial" w:cs="Arial"/>
                <w:sz w:val="24"/>
                <w:szCs w:val="24"/>
              </w:rPr>
              <w:t xml:space="preserve"> Quando os resultados dos procedimentos investigativos previstos no § 3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  <w:r w:rsidRPr="00C1688D">
              <w:rPr>
                <w:rFonts w:ascii="Arial" w:hAnsi="Arial" w:cs="Arial"/>
                <w:sz w:val="24"/>
                <w:szCs w:val="24"/>
              </w:rPr>
              <w:t xml:space="preserve"> deste artigo demandarem o prosseguimento da investigação em outros órgãos da Administração Pública Federal, a sua disponibilização somente ocorrerá após manifestação do órgão competente.</w:t>
            </w:r>
          </w:p>
        </w:tc>
        <w:tc>
          <w:tcPr>
            <w:tcW w:w="5103" w:type="dxa"/>
          </w:tcPr>
          <w:p w14:paraId="19134DB7" w14:textId="2D57DB69" w:rsidR="00D8236D" w:rsidRDefault="00D8236D" w:rsidP="00604ACF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 w:rsidRPr="00D8236D">
              <w:rPr>
                <w:rFonts w:ascii="Arial" w:hAnsi="Arial" w:cs="Arial"/>
                <w:b/>
                <w:bCs/>
                <w:color w:val="FF0000"/>
              </w:rPr>
              <w:lastRenderedPageBreak/>
              <w:t>Alterado somente o inciso IV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e revogado o </w:t>
            </w:r>
            <w:r w:rsidRPr="00D8236D">
              <w:rPr>
                <w:rFonts w:ascii="Arial" w:hAnsi="Arial" w:cs="Arial"/>
                <w:b/>
                <w:bCs/>
                <w:color w:val="FF0000"/>
              </w:rPr>
              <w:t>§1º do art. 4º</w:t>
            </w:r>
          </w:p>
          <w:p w14:paraId="0EA765DC" w14:textId="77777777" w:rsidR="00D8236D" w:rsidRPr="00D8236D" w:rsidRDefault="00D8236D" w:rsidP="00604ACF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AF8000D" w14:textId="4C52A1BB" w:rsidR="00604ACF" w:rsidRDefault="00604ACF" w:rsidP="00604ACF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Art. 4º...............................................................</w:t>
            </w:r>
          </w:p>
          <w:p w14:paraId="7726D999" w14:textId="6D9F9646" w:rsidR="00604ACF" w:rsidRDefault="00604ACF" w:rsidP="00604ACF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..............................................................................................................</w:t>
            </w:r>
            <w:r>
              <w:rPr>
                <w:rFonts w:ascii="Arial" w:hAnsi="Arial" w:cs="Arial"/>
                <w:color w:val="162937"/>
              </w:rPr>
              <w:t>....................................</w:t>
            </w:r>
          </w:p>
          <w:p w14:paraId="2876AB7C" w14:textId="77777777" w:rsidR="00604ACF" w:rsidRDefault="00604ACF" w:rsidP="00604ACF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 xml:space="preserve">IV - </w:t>
            </w:r>
            <w:proofErr w:type="gramStart"/>
            <w:r>
              <w:rPr>
                <w:rFonts w:ascii="Arial" w:hAnsi="Arial" w:cs="Arial"/>
                <w:color w:val="162937"/>
              </w:rPr>
              <w:t>documentos</w:t>
            </w:r>
            <w:proofErr w:type="gramEnd"/>
            <w:r>
              <w:rPr>
                <w:rFonts w:ascii="Arial" w:hAnsi="Arial" w:cs="Arial"/>
                <w:color w:val="162937"/>
              </w:rPr>
              <w:t xml:space="preserve"> relacionados à identificação do denunciante;</w:t>
            </w:r>
          </w:p>
          <w:p w14:paraId="6B9D72E9" w14:textId="1D4D0609" w:rsidR="00604ACF" w:rsidRDefault="00604ACF" w:rsidP="00604ACF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........................................................................................................</w:t>
            </w:r>
            <w:r>
              <w:rPr>
                <w:rFonts w:ascii="Arial" w:hAnsi="Arial" w:cs="Arial"/>
                <w:color w:val="162937"/>
              </w:rPr>
              <w:t>..................................</w:t>
            </w:r>
            <w:r>
              <w:rPr>
                <w:rFonts w:ascii="Arial" w:hAnsi="Arial" w:cs="Arial"/>
                <w:color w:val="162937"/>
              </w:rPr>
              <w:t>......."</w:t>
            </w:r>
          </w:p>
          <w:p w14:paraId="124E3DB2" w14:textId="707F7149" w:rsidR="00604ACF" w:rsidRDefault="00604ACF" w:rsidP="00C1688D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Art. 3º Fica revogado o §1º do art. 4º da Portaria nº 462, de 12 de novembro de 2012.</w:t>
            </w:r>
          </w:p>
          <w:p w14:paraId="394983E4" w14:textId="77777777" w:rsidR="00604ACF" w:rsidRDefault="00604ACF" w:rsidP="00604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DF15032" w14:textId="77777777" w:rsidR="00604ACF" w:rsidRPr="00604ACF" w:rsidRDefault="00604ACF" w:rsidP="00604ACF">
      <w:pPr>
        <w:rPr>
          <w:rFonts w:ascii="Arial" w:hAnsi="Arial" w:cs="Arial"/>
          <w:b/>
          <w:bCs/>
          <w:sz w:val="24"/>
          <w:szCs w:val="24"/>
        </w:rPr>
      </w:pPr>
    </w:p>
    <w:p w14:paraId="58B7BB21" w14:textId="77777777" w:rsidR="00604ACF" w:rsidRDefault="00604ACF"/>
    <w:sectPr w:rsidR="00604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10"/>
    <w:rsid w:val="001A5963"/>
    <w:rsid w:val="00212850"/>
    <w:rsid w:val="00604ACF"/>
    <w:rsid w:val="00684AEC"/>
    <w:rsid w:val="00696E10"/>
    <w:rsid w:val="00884BDD"/>
    <w:rsid w:val="00C1688D"/>
    <w:rsid w:val="00C177DC"/>
    <w:rsid w:val="00D8236D"/>
    <w:rsid w:val="00E3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78E0"/>
  <w15:chartTrackingRefBased/>
  <w15:docId w15:val="{55E2193B-F683-46E8-81B2-A2EB26F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6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6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6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6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6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6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6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6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6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6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6E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6E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6E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6E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6E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6E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6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6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6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6E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6E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6E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6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6E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6E1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9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69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1661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Rosa  dos Reis</dc:creator>
  <cp:keywords/>
  <dc:description/>
  <cp:lastModifiedBy>Luiz Rosa  dos Reis</cp:lastModifiedBy>
  <cp:revision>1</cp:revision>
  <dcterms:created xsi:type="dcterms:W3CDTF">2025-02-06T17:29:00Z</dcterms:created>
  <dcterms:modified xsi:type="dcterms:W3CDTF">2025-02-06T18:47:00Z</dcterms:modified>
</cp:coreProperties>
</file>